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C81" w:rsidRPr="00312C81" w:rsidRDefault="00BE20C1" w:rsidP="00312C81">
      <w:pPr>
        <w:pStyle w:val="a3"/>
        <w:tabs>
          <w:tab w:val="left" w:pos="851"/>
        </w:tabs>
        <w:spacing w:line="360" w:lineRule="auto"/>
        <w:ind w:left="567"/>
        <w:jc w:val="both"/>
        <w:rPr>
          <w:rFonts w:ascii="Times New Roman" w:hAnsi="Times New Roman" w:cs="Times New Roman"/>
          <w:b/>
          <w:sz w:val="24"/>
          <w:szCs w:val="24"/>
        </w:rPr>
      </w:pPr>
      <w:r w:rsidRPr="00BE20C1">
        <w:drawing>
          <wp:inline distT="0" distB="0" distL="0" distR="0">
            <wp:extent cx="5940425" cy="9112842"/>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9112842"/>
                    </a:xfrm>
                    <a:prstGeom prst="rect">
                      <a:avLst/>
                    </a:prstGeom>
                    <a:noFill/>
                    <a:ln>
                      <a:noFill/>
                    </a:ln>
                  </pic:spPr>
                </pic:pic>
              </a:graphicData>
            </a:graphic>
          </wp:inline>
        </w:drawing>
      </w:r>
      <w:bookmarkStart w:id="0" w:name="_GoBack"/>
      <w:bookmarkEnd w:id="0"/>
    </w:p>
    <w:p w:rsidR="00A93CDD" w:rsidRPr="00312C81" w:rsidRDefault="00A93CDD" w:rsidP="00A93CDD">
      <w:pPr>
        <w:rPr>
          <w:b/>
        </w:rPr>
      </w:pPr>
      <w:r w:rsidRPr="00312C81">
        <w:rPr>
          <w:b/>
        </w:rPr>
        <w:lastRenderedPageBreak/>
        <w:t>Раздел III.</w:t>
      </w:r>
      <w:r w:rsidRPr="00312C81">
        <w:rPr>
          <w:b/>
        </w:rPr>
        <w:tab/>
        <w:t>Урегулирование требований по международным страховым сертификатам в Российской Федерации</w:t>
      </w:r>
    </w:p>
    <w:p w:rsidR="00312C81" w:rsidRDefault="00312C81" w:rsidP="00A93CDD"/>
    <w:p w:rsidR="00A93CDD" w:rsidRDefault="00A93CDD" w:rsidP="00A93CDD">
      <w:r>
        <w:t>30.</w:t>
      </w:r>
      <w:r>
        <w:tab/>
        <w:t>Урегулирование требований по международным страховым сертификатам в Российской Федерации (далее также – урегулирование в Российской Федерации) производится в соответствии с законодательством Российской Федерации об обязательном страховании с учетом требований настоящего положения. При этом в случае, если законом не установлено иное, изменения, вносимые в указанное законодательство, применяются к отношениям, возникшим между потерпевшими, представителями по урегулированию и иностранными участниками международных систем страхования в связи с причинением вреда в результате дорожно-транспортных происшествий, произошедших после вступления в законную силу соответствующих изменений.</w:t>
      </w:r>
    </w:p>
    <w:p w:rsidR="00A93CDD" w:rsidRDefault="00A93CDD" w:rsidP="00A93CDD">
      <w:r>
        <w:t>31.</w:t>
      </w:r>
      <w:r>
        <w:tab/>
        <w:t>Урегулирование в Российской Федерации обеспечивает бюро посредством:</w:t>
      </w:r>
    </w:p>
    <w:p w:rsidR="00A93CDD" w:rsidRDefault="00A93CDD" w:rsidP="00A93CDD">
      <w:r>
        <w:t>а)</w:t>
      </w:r>
      <w:r>
        <w:tab/>
        <w:t>принятия с использованием любых средств связи или без таковых устных или письменных сообщений от потерпевшего о причинении в результате дорожно-транспортного происшествия вреда владельцем транспортного средства, предъявившим международный страховой сертификат;</w:t>
      </w:r>
    </w:p>
    <w:p w:rsidR="00A93CDD" w:rsidRDefault="00A93CDD" w:rsidP="00A93CDD">
      <w:r>
        <w:t>б)</w:t>
      </w:r>
      <w:r>
        <w:tab/>
        <w:t>определения представителя по урегулированию из числа лиц, уполномоченных на урегулирование в Российской Федерации согласно разделу II настоящего положения;</w:t>
      </w:r>
    </w:p>
    <w:p w:rsidR="00A93CDD" w:rsidRDefault="00A93CDD" w:rsidP="00A93CDD">
      <w:r>
        <w:t>в)</w:t>
      </w:r>
      <w:r>
        <w:tab/>
        <w:t>осуществления контроля за представителями по урегулированию;</w:t>
      </w:r>
    </w:p>
    <w:p w:rsidR="00A93CDD" w:rsidRDefault="00A93CDD" w:rsidP="00A93CDD">
      <w:r>
        <w:t>г)</w:t>
      </w:r>
      <w:r>
        <w:tab/>
        <w:t>представления гарантий осуществления потерпевшим страхового возмещения.</w:t>
      </w:r>
    </w:p>
    <w:p w:rsidR="00A93CDD" w:rsidRDefault="00A93CDD" w:rsidP="00A93CDD">
      <w:r>
        <w:t>32.</w:t>
      </w:r>
      <w:r>
        <w:tab/>
        <w:t>При поступлении сообщения о причинении ущерба владельцем транспортного средства, предъявившим международный страховой сертификат, бюро обеспечивает регистрацию этого сообщения, определение представителя по урегулированию.</w:t>
      </w:r>
    </w:p>
    <w:p w:rsidR="00A93CDD" w:rsidRDefault="00A93CDD" w:rsidP="00A93CDD">
      <w:r>
        <w:t>33.</w:t>
      </w:r>
      <w:r>
        <w:tab/>
        <w:t>Регистрация сообщения заключается в фиксации в системе учета страховых случаев бюро информации о месте, времени, участниках дорожно-транспортного происшествия, сведений о договоре страхования в рамках международной системы страхования, а также страховщике, выдавшем международный страховой сертификат. Регистрация сообщения выполняется немедленно при его поступлении.</w:t>
      </w:r>
    </w:p>
    <w:p w:rsidR="00A93CDD" w:rsidRDefault="00A93CDD" w:rsidP="00A93CDD">
      <w:proofErr w:type="gramStart"/>
      <w:r>
        <w:t>34.</w:t>
      </w:r>
      <w:r>
        <w:tab/>
        <w:t>В</w:t>
      </w:r>
      <w:proofErr w:type="gramEnd"/>
      <w:r>
        <w:t xml:space="preserve"> случае, если на основании полученной информации невозможно установить страховщика, выдавшего страховой сертификат международной системы страхования, определение представителя по урегулированию осуществляется таким образом, как если бы у страховщика, выдавшего страховой сертификат международной системы страхования, отсутствовал корреспондент в Российской Федерации. При этом в случае выявления факта наличия в Российской Федерации корреспондента страховщика, выдавшего страховой сертификат международной системы страхования:</w:t>
      </w:r>
    </w:p>
    <w:p w:rsidR="00A93CDD" w:rsidRDefault="00A93CDD" w:rsidP="00A93CDD">
      <w:r>
        <w:t xml:space="preserve">а) до подачи потерпевшим последнего из документов, обязанность по предоставлению которых имеется у потерпевшего в соответствии с требованиями законодательства Российской Федерации об обязательном страховании, назначенному агенту, осуществляется процедура замены представителя по урегулированию в порядке, предусмотренном настоящим положением; </w:t>
      </w:r>
    </w:p>
    <w:p w:rsidR="00A93CDD" w:rsidRDefault="00A93CDD" w:rsidP="00A93CDD">
      <w:r>
        <w:t xml:space="preserve">б) после подачи потерпевшим последнего из документов, обязанность по предоставлению которых имеется у потерпевшего в соответствии с требованиями законодательства Российской Федерации об обязательном страховании, назначенному агенту, процедура замены представителя по урегулированию не осуществляется. </w:t>
      </w:r>
    </w:p>
    <w:p w:rsidR="00A93CDD" w:rsidRDefault="00A93CDD" w:rsidP="00A93CDD">
      <w:r>
        <w:t>35.</w:t>
      </w:r>
      <w:r>
        <w:tab/>
        <w:t>Если в субъекте Российской Федерации, на территории которого произошел страховой случай, деятельность по урегулированию в соответствии с назначением бюро осуществляют более одного агента, выбор производится по утвержденной бюро очередности. Выбор агента в этом случае также должен производиться с учетом имеющейся информации о возможном конфликте интересов при определении представителя по урегулированию.</w:t>
      </w:r>
    </w:p>
    <w:p w:rsidR="00A93CDD" w:rsidRDefault="00A93CDD" w:rsidP="00A93CDD">
      <w:r>
        <w:lastRenderedPageBreak/>
        <w:t>36.</w:t>
      </w:r>
      <w:r>
        <w:tab/>
        <w:t>Если у страховщика, выдавшего страховой сертификат международной системы страхования, не назначен корреспондент в Российской Федерации и на территории субъекта Российской Федерации не назначен агент бюро, функции представителя по урегулированию выполняет бюро.</w:t>
      </w:r>
    </w:p>
    <w:p w:rsidR="004B1259" w:rsidRDefault="00A93CDD" w:rsidP="00A93CDD">
      <w:r>
        <w:t>37.</w:t>
      </w:r>
      <w:r>
        <w:tab/>
        <w:t>Процедура определения представителя по урегулированию выполняется при приеме сообщения от потерпевшего о причинении вреда владельцем транспортного средства, предъявившим страховой сертификат международной системы страхования. Сведения о представителе по урегулированию, а также информация в установленном объеме о порядке предъявления требования о возмещении вреда немедленно любым доступным способом предоставляются обратившемуся с таким сообщением потерпевшему.</w:t>
      </w:r>
    </w:p>
    <w:p w:rsidR="00312C81" w:rsidRDefault="00312C81" w:rsidP="00312C81">
      <w:r>
        <w:t>38.</w:t>
      </w:r>
      <w:r>
        <w:tab/>
        <w:t xml:space="preserve">При наличии основания, предусмотренного пунктом 34 настоящего положения (выявления корреспондента), а также в случае выявления у уже определенного корреспондента или </w:t>
      </w:r>
      <w:proofErr w:type="gramStart"/>
      <w:r>
        <w:t>агента  конфликта</w:t>
      </w:r>
      <w:proofErr w:type="gramEnd"/>
      <w:r>
        <w:t xml:space="preserve"> интересов (выявление конфликта интересов), осуществляется процедура замены представителя по урегулированию, а именно: </w:t>
      </w:r>
    </w:p>
    <w:p w:rsidR="00312C81" w:rsidRDefault="00312C81" w:rsidP="00312C81">
      <w:r>
        <w:t xml:space="preserve">а) при выявлении корреспондента – в качестве представителя по урегулированию требования по страховым сертификатам международных систем страхования определяется выявленный корреспондент; </w:t>
      </w:r>
    </w:p>
    <w:p w:rsidR="00312C81" w:rsidRDefault="00312C81" w:rsidP="00312C81">
      <w:r>
        <w:t xml:space="preserve">б) при выявлении конфликта интересов у агента – в качестве представителя по урегулированию требования по страховым сертификатам международных систем страхования определяется агент, осуществляющий согласно утвержденной бюро очередности урегулирование в соответствующем субъекте Российской Федерации сразу после агента, у которого был выявлен конфликт интересов, у корреспондента – агент согласно очередности. Сведения о новом представителе по урегулированию, а также информация в установленном объеме о порядке предъявления требования о возмещении вреда немедленно с использованием любых доступных способов предоставляются бюро потерпевшему.   </w:t>
      </w:r>
    </w:p>
    <w:p w:rsidR="00312C81" w:rsidRDefault="00312C81" w:rsidP="00312C81">
      <w:r>
        <w:t>39.</w:t>
      </w:r>
      <w:r>
        <w:tab/>
        <w:t>Бюро по электронной почте и посредством внесения соответствующих сведений в систему учета страховых случаев не позднее дня, следующего за днем регистрации сообщения о причинении вреда владельцем транспортного средства или со дня замены представителя по урегулированию, сообщает данную информацию представителю по урегулированию, а в случае замены представителя –обоим представителям по урегулированию.</w:t>
      </w:r>
    </w:p>
    <w:p w:rsidR="00312C81" w:rsidRDefault="00312C81" w:rsidP="00312C81">
      <w:r>
        <w:t>40.</w:t>
      </w:r>
      <w:r>
        <w:tab/>
        <w:t>Заявление потерпевшего о страховом возмещении принимается представителем по урегулированию, определенным в соответствии с настоящим положением. Представитель по урегулированию вправе отказать в принятии заявления потерпевшего только при получении от бюро сведений о том, что по данному требованию определен иной представитель по урегулированию.</w:t>
      </w:r>
    </w:p>
    <w:p w:rsidR="00312C81" w:rsidRDefault="00312C81" w:rsidP="00312C81">
      <w:r>
        <w:t>41.</w:t>
      </w:r>
      <w:r>
        <w:tab/>
        <w:t>Форма заявления о страховом возмещении, а также состав документов и сведений, прилагаемых к заявлению, должны соответствовать установленным законодательством Российской Федерации об обязательном страховании. Если заявитель не передал представителю по урегулированию какой-либо документ, то представитель по урегулированию принимает заявление и предлагает заявителю передать недостающий документ, исходя из того, что течение установленного настоящим положением срока урегулирования начинается с момента представления всех необходимых документов.</w:t>
      </w:r>
    </w:p>
    <w:p w:rsidR="00312C81" w:rsidRDefault="00312C81" w:rsidP="00312C81">
      <w:proofErr w:type="gramStart"/>
      <w:r>
        <w:t>45.</w:t>
      </w:r>
      <w:r>
        <w:tab/>
        <w:t>К</w:t>
      </w:r>
      <w:proofErr w:type="gramEnd"/>
      <w:r>
        <w:t xml:space="preserve"> отношениям между потерпевшим и представителем по урегулированию применяются правила, установленные законодательством Российской Федерации для отношений между выгодоприобретателем и страховщиком по договору обязательного страхования, постольку, поскольку иное не вытекает из существа таких отношений, а также с учетом следующего:</w:t>
      </w:r>
    </w:p>
    <w:p w:rsidR="00312C81" w:rsidRDefault="00312C81" w:rsidP="00312C81">
      <w:r>
        <w:lastRenderedPageBreak/>
        <w:t>а)</w:t>
      </w:r>
      <w:r>
        <w:tab/>
        <w:t>определение ущерба должно производиться по единой методике, указанной в пункте 19 настоящего положения, за исключением случаев, предусмотренных подпунктом «б» настоящего пункта;</w:t>
      </w:r>
    </w:p>
    <w:p w:rsidR="00312C81" w:rsidRDefault="00312C81" w:rsidP="00312C81">
      <w:r>
        <w:t>б)</w:t>
      </w:r>
      <w:r>
        <w:tab/>
        <w:t>представитель по урегулированию в соответствии с правилами международной системы страхования обязан запросить по электронной почте страховщика, выдавшего страховой сертификат международной системы страхования:</w:t>
      </w:r>
    </w:p>
    <w:p w:rsidR="00312C81" w:rsidRDefault="00312C81" w:rsidP="00312C81">
      <w:r>
        <w:t xml:space="preserve">– информацию о страховой сумме, которая может превышать установленную законодательством Российской Федерации об обязательном страховании, если это предусмотрено правилами международной системы страхования; </w:t>
      </w:r>
    </w:p>
    <w:p w:rsidR="00312C81" w:rsidRDefault="00312C81" w:rsidP="00312C81">
      <w:r>
        <w:t>– информацию об осуществлении страхового возмещения в объеме, превышающем размер ущерба, определённый в соответствии с единой методикой, указанной в пункте 19 настоящего положения, в том числе в части возмещения износа и реальных расходов, произведенных потерпевшим для приведения имущества в состояние, в котором оно находилось до момента наступления страхового случая, в соответствии с условиями данного международного сертификата страхования, выданного данным страховщиком, если это предусмотрено правилами международной системы страхования. Размер страхового возмещения определяется с учетом ответа на указанный запрос. Если такой ответ своевременно не получен, урегулирование осуществляется исходя из страховой суммы, установленной законодательством Российской Федерации об обязательном страховании, и в соответствии с единой методикой, указанной в пункте 19 настоящего положения. При этом в случае, если после осуществления страхового  возмещения потерпевшему получен ответ страховщика, согласно которому страховая сумма превышает установленную законодательством Российской Федерации об обязательном страховании, либо страховое возмещение может быть произведено в объеме, превышающем определённый в соответствии с этой единой методикой, представитель по урегулированию уведомляет потерпевшего о возможности дополнительного перерасчета размера произведенного страхового  возмещения;</w:t>
      </w:r>
    </w:p>
    <w:p w:rsidR="00312C81" w:rsidRDefault="00312C81" w:rsidP="00312C81">
      <w:r>
        <w:t>в)</w:t>
      </w:r>
      <w:r>
        <w:tab/>
        <w:t>в течение 20 календарных дней, за исключением нерабочих праздничных дней, с момента получения заявления о страховом возмещении с приложением всех необходимых документов представитель по урегулированию обязан произвести страховое  возмещение потерпевшему или после осмотра и (или) независимой технической экспертизы поврежденного транспортного средства выдать потерпевшему направление на ремонт транспортного средства с указанием станции технического обслуживания, на которой будет отремонтировано его транспортное средство и представитель по урегулированию которой оплатит восстановительный ремонт поврежденного транспортного средства, и срока ремонта либо направить потерпевшему мотивированный отказ в страховом возмещении (срок урегулирования). В случае отсутствия у представителя по урегулированию информации о действительности международного страхового сертификата срок урегулирования продлевается по указанному основанию на срок получения такой информации и 7 рабочих дней, но не более срока, установленного правилами конкретной международной системой страхования для получения такой информации и 7 рабочих дней с момента направления в адрес иностранного национального бюро  запроса в целях подтверждения действительности международного страхового сертификата в порядке, предусмотренном разделом V настоящего положения;</w:t>
      </w:r>
    </w:p>
    <w:p w:rsidR="00312C81" w:rsidRDefault="00312C81" w:rsidP="00312C81"/>
    <w:p w:rsidR="00312C81" w:rsidRPr="00312C81" w:rsidRDefault="00312C81" w:rsidP="00312C81">
      <w:pPr>
        <w:rPr>
          <w:b/>
        </w:rPr>
      </w:pPr>
      <w:r w:rsidRPr="00312C81">
        <w:rPr>
          <w:b/>
        </w:rPr>
        <w:t>Раздел IV.</w:t>
      </w:r>
      <w:r w:rsidRPr="00312C81">
        <w:rPr>
          <w:b/>
        </w:rPr>
        <w:tab/>
        <w:t>Урегулирование за рубежом.</w:t>
      </w:r>
    </w:p>
    <w:p w:rsidR="00312C81" w:rsidRDefault="00312C81" w:rsidP="00312C81"/>
    <w:p w:rsidR="00312C81" w:rsidRDefault="00312C81" w:rsidP="00312C81">
      <w:r>
        <w:t>68.</w:t>
      </w:r>
      <w:r>
        <w:tab/>
        <w:t xml:space="preserve">Урегулирование требований по международным страховым сертификатам в связи с причинением владельцем транспортного средства, предъявившим международный страховой сертификат, выданный членом бюро, вреда в результате дорожно-транспортного происшествия, произошедшего на территории любой страны, в которой действует соответствующая международная система страхования, за исключением </w:t>
      </w:r>
      <w:r>
        <w:lastRenderedPageBreak/>
        <w:t>Российской Федерации (далее – урегулирование за рубежом), производится в соответствии с законодательством об обязательном страховании такой страны, требованиями соответствующей международной системы страхования, а также соглашением, заключенным бюро с национальным бюро этой страны.</w:t>
      </w:r>
    </w:p>
    <w:p w:rsidR="00312C81" w:rsidRDefault="00312C81" w:rsidP="00312C81">
      <w:r>
        <w:t>69.</w:t>
      </w:r>
      <w:r>
        <w:tab/>
        <w:t>Урегулирование за рубежом требований потерпевших о возмещении вреда может быть произведено на территории Российской Федерации членом бюро, выдавшим владельцу транспортного средства-причинителю вреда международный страховой сертификат, если в результате дорожно-транспортного происшествия причинен ущерб транспортным средствам, зарегистрированным в Российской Федерации, и (или) находящимся в них пассажирам и иным третьим лицам, в случае, если таковые являются гражданами или юридическими лицами Российской Федерации и причиненный им ущерб подлежит возмещению в соответствии с законодательством об обязательном страховании страны дорожно-транспортного происшествия. В таком случае урегулирование требований потерпевших производится в соответствии с законодательством Российской Федерации об обязательном страховании. При этом документы, подтверждающие факт дорожно-транспортного происшествия, принимаемые членом бюро, выдавшим владельцу транспортного средства-причинителю вреда международный страховой сертификат, от потерпевшего, должны соответствовать требованиям, установленным законодательством страны, на территории которой произошло дорожно-транспортное происшествие, в том числе в случае, если указанным законодательством не предусмотрено обязательное оформление дорожно-транспортного происшествия сотрудниками дорожной полиции. Размер страхового возмещения, причитающегося потерпевшему в целях возмещения вреда, причиненного его жизни и здоровью, рассчитывается без учета сумм, выплаченных членом бюро в счет возмещения расходов по урегулированию данного требования за рубежом, произведенных бюро страны (либо иным лицом, осуществившим урегулирование) до момента передачи данного требования на урегулирование члену бюро. Размер страхового возмещения, причитающегося потерпевшему в целях возмещения вреда, причиненного его имуществу, рассчитывается без учета сумм, выплаченных членом бюро в счет возмещения расходов по урегулированию требований иных потерпевших за рубежом, произведенных бюро страны (либо иным лицом, осуществившим урегулирование).</w:t>
      </w:r>
    </w:p>
    <w:sectPr w:rsidR="00312C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D548B"/>
    <w:multiLevelType w:val="multilevel"/>
    <w:tmpl w:val="33968F5E"/>
    <w:lvl w:ilvl="0">
      <w:start w:val="2"/>
      <w:numFmt w:val="upperRoman"/>
      <w:lvlText w:val="Раздел %1."/>
      <w:lvlJc w:val="left"/>
      <w:pPr>
        <w:tabs>
          <w:tab w:val="num" w:pos="357"/>
        </w:tabs>
        <w:ind w:left="360" w:hanging="72"/>
      </w:pPr>
      <w:rPr>
        <w:rFonts w:hint="default"/>
      </w:rPr>
    </w:lvl>
    <w:lvl w:ilvl="1">
      <w:start w:val="1"/>
      <w:numFmt w:val="decimal"/>
      <w:lvlText w:val="%2."/>
      <w:lvlJc w:val="center"/>
      <w:pPr>
        <w:tabs>
          <w:tab w:val="num" w:pos="397"/>
        </w:tabs>
        <w:ind w:left="0" w:firstLine="0"/>
      </w:pPr>
      <w:rPr>
        <w:rFonts w:hint="default"/>
      </w:rPr>
    </w:lvl>
    <w:lvl w:ilvl="2">
      <w:start w:val="1"/>
      <w:numFmt w:val="decimal"/>
      <w:lvlText w:val="%2.%3."/>
      <w:lvlJc w:val="left"/>
      <w:pPr>
        <w:tabs>
          <w:tab w:val="num" w:pos="284"/>
        </w:tabs>
        <w:ind w:left="0" w:firstLine="0"/>
      </w:pPr>
      <w:rPr>
        <w:rFonts w:hint="default"/>
      </w:rPr>
    </w:lvl>
    <w:lvl w:ilvl="3">
      <w:start w:val="1"/>
      <w:numFmt w:val="bullet"/>
      <w:lvlText w:val=""/>
      <w:lvlJc w:val="left"/>
      <w:pPr>
        <w:tabs>
          <w:tab w:val="num" w:pos="851"/>
        </w:tabs>
        <w:ind w:left="567" w:firstLine="0"/>
      </w:pPr>
      <w:rPr>
        <w:rFonts w:ascii="Symbol" w:hAnsi="Symbol" w:hint="default"/>
        <w:color w:val="auto"/>
      </w:rPr>
    </w:lvl>
    <w:lvl w:ilvl="4">
      <w:start w:val="1"/>
      <w:numFmt w:val="russianLower"/>
      <w:lvlText w:val="%5)"/>
      <w:lvlJc w:val="left"/>
      <w:pPr>
        <w:tabs>
          <w:tab w:val="num" w:pos="814"/>
        </w:tabs>
        <w:ind w:left="360" w:firstLine="0"/>
      </w:pPr>
      <w:rPr>
        <w:rFonts w:hint="default"/>
      </w:rPr>
    </w:lvl>
    <w:lvl w:ilvl="5">
      <w:start w:val="1"/>
      <w:numFmt w:val="bullet"/>
      <w:lvlText w:val=""/>
      <w:lvlJc w:val="left"/>
      <w:pPr>
        <w:tabs>
          <w:tab w:val="num" w:pos="1701"/>
        </w:tabs>
        <w:ind w:left="1701" w:firstLine="0"/>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52B83509"/>
    <w:multiLevelType w:val="multilevel"/>
    <w:tmpl w:val="9FCE0EB8"/>
    <w:lvl w:ilvl="0">
      <w:start w:val="1"/>
      <w:numFmt w:val="upperRoman"/>
      <w:lvlText w:val="Раздел %1."/>
      <w:lvlJc w:val="left"/>
      <w:pPr>
        <w:tabs>
          <w:tab w:val="num" w:pos="357"/>
        </w:tabs>
        <w:ind w:left="360" w:hanging="72"/>
      </w:pPr>
      <w:rPr>
        <w:rFonts w:hint="default"/>
      </w:rPr>
    </w:lvl>
    <w:lvl w:ilvl="1">
      <w:start w:val="1"/>
      <w:numFmt w:val="decimal"/>
      <w:lvlText w:val="%2."/>
      <w:lvlJc w:val="center"/>
      <w:pPr>
        <w:tabs>
          <w:tab w:val="num" w:pos="397"/>
        </w:tabs>
        <w:ind w:left="0" w:firstLine="0"/>
      </w:pPr>
      <w:rPr>
        <w:rFonts w:hint="default"/>
      </w:rPr>
    </w:lvl>
    <w:lvl w:ilvl="2">
      <w:start w:val="1"/>
      <w:numFmt w:val="decimal"/>
      <w:lvlText w:val="%2.%3."/>
      <w:lvlJc w:val="left"/>
      <w:pPr>
        <w:tabs>
          <w:tab w:val="num" w:pos="284"/>
        </w:tabs>
        <w:ind w:left="0" w:firstLine="0"/>
      </w:pPr>
      <w:rPr>
        <w:rFonts w:hint="default"/>
      </w:rPr>
    </w:lvl>
    <w:lvl w:ilvl="3">
      <w:start w:val="1"/>
      <w:numFmt w:val="decimal"/>
      <w:lvlText w:val="%2.%3.%4"/>
      <w:lvlJc w:val="left"/>
      <w:pPr>
        <w:tabs>
          <w:tab w:val="num" w:pos="851"/>
        </w:tabs>
        <w:ind w:left="567" w:firstLine="0"/>
      </w:pPr>
      <w:rPr>
        <w:rFonts w:hint="default"/>
        <w:color w:val="auto"/>
      </w:rPr>
    </w:lvl>
    <w:lvl w:ilvl="4">
      <w:start w:val="1"/>
      <w:numFmt w:val="russianLower"/>
      <w:lvlText w:val="%5)"/>
      <w:lvlJc w:val="left"/>
      <w:pPr>
        <w:tabs>
          <w:tab w:val="num" w:pos="814"/>
        </w:tabs>
        <w:ind w:left="360" w:firstLine="0"/>
      </w:pPr>
      <w:rPr>
        <w:rFonts w:hint="default"/>
      </w:rPr>
    </w:lvl>
    <w:lvl w:ilvl="5">
      <w:start w:val="1"/>
      <w:numFmt w:val="bullet"/>
      <w:lvlText w:val=""/>
      <w:lvlJc w:val="left"/>
      <w:pPr>
        <w:tabs>
          <w:tab w:val="num" w:pos="1701"/>
        </w:tabs>
        <w:ind w:left="1701" w:firstLine="0"/>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CDD"/>
    <w:rsid w:val="00312C81"/>
    <w:rsid w:val="004B1259"/>
    <w:rsid w:val="00A93CDD"/>
    <w:rsid w:val="00BE2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DA936"/>
  <w15:chartTrackingRefBased/>
  <w15:docId w15:val="{1CBE3660-3439-427D-B8C4-B8BDB89C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3CDD"/>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A93CDD"/>
    <w:rPr>
      <w:rFonts w:ascii="Courier New" w:hAnsi="Courier New" w:cs="Arial Unicode MS"/>
      <w:sz w:val="20"/>
    </w:rPr>
  </w:style>
  <w:style w:type="character" w:customStyle="1" w:styleId="a4">
    <w:name w:val="Текст Знак"/>
    <w:basedOn w:val="a0"/>
    <w:link w:val="a3"/>
    <w:uiPriority w:val="99"/>
    <w:rsid w:val="00A93CDD"/>
    <w:rPr>
      <w:rFonts w:ascii="Courier New" w:eastAsia="Times New Roman" w:hAnsi="Courier New" w:cs="Arial Unicode MS"/>
      <w:sz w:val="20"/>
      <w:szCs w:val="20"/>
      <w:lang w:eastAsia="ru-RU"/>
    </w:rPr>
  </w:style>
  <w:style w:type="paragraph" w:customStyle="1" w:styleId="ConsPlusNormal">
    <w:name w:val="ConsPlusNormal"/>
    <w:rsid w:val="00A93CDD"/>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customStyle="1" w:styleId="ConsPlusTitle">
    <w:name w:val="ConsPlusTitle"/>
    <w:rsid w:val="00A93CDD"/>
    <w:pPr>
      <w:widowControl w:val="0"/>
      <w:overflowPunct w:val="0"/>
      <w:autoSpaceDE w:val="0"/>
      <w:autoSpaceDN w:val="0"/>
      <w:adjustRightInd w:val="0"/>
      <w:spacing w:after="0" w:line="240" w:lineRule="auto"/>
      <w:textAlignment w:val="baseline"/>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1970</Words>
  <Characters>11234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Разуван Сергей Иванович</dc:creator>
  <cp:keywords/>
  <dc:description/>
  <cp:lastModifiedBy>Разуван Сергей Иванович</cp:lastModifiedBy>
  <cp:revision>1</cp:revision>
  <dcterms:created xsi:type="dcterms:W3CDTF">2024-06-20T13:00:00Z</dcterms:created>
  <dcterms:modified xsi:type="dcterms:W3CDTF">2024-06-20T13:27:00Z</dcterms:modified>
</cp:coreProperties>
</file>